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8F25C9" w:rsidRDefault="005C5EE7">
      <w:pPr>
        <w:pStyle w:val="TableParagraph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F25C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УВЕДОМЛЕНИЕ</w:t>
      </w:r>
    </w:p>
    <w:p w:rsidR="00000000" w:rsidRPr="008F25C9" w:rsidRDefault="005C5EE7">
      <w:pPr>
        <w:pStyle w:val="TableParagraph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F25C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 ПРОВЕДЕНИИ ОБЩЕСТВЕННЫХ ОБСУЖДЕНИЙ</w:t>
      </w:r>
    </w:p>
    <w:p w:rsidR="00000000" w:rsidRPr="008F25C9" w:rsidRDefault="005C5EE7">
      <w:pPr>
        <w:pStyle w:val="af7"/>
        <w:ind w:left="163" w:firstLine="2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00000" w:rsidRPr="008F25C9" w:rsidRDefault="005C5EE7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25C9">
        <w:rPr>
          <w:rFonts w:ascii="Times New Roman" w:hAnsi="Times New Roman" w:cs="Times New Roman"/>
          <w:color w:val="000000"/>
          <w:sz w:val="20"/>
          <w:szCs w:val="20"/>
        </w:rPr>
        <w:t>Содержание уведомления определено пп. 24, 26 «Правил проведения оценки воздействия на окружающую среду», утв. постановлением Правитель</w:t>
      </w:r>
      <w:r w:rsidRPr="008F25C9">
        <w:rPr>
          <w:rFonts w:ascii="Times New Roman" w:hAnsi="Times New Roman" w:cs="Times New Roman"/>
          <w:color w:val="000000"/>
          <w:sz w:val="20"/>
          <w:szCs w:val="20"/>
        </w:rPr>
        <w:t>ства РФ от 28.11.2024 № 1644.</w:t>
      </w:r>
    </w:p>
    <w:p w:rsidR="00000000" w:rsidRPr="008F25C9" w:rsidRDefault="005C5EE7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275"/>
        <w:gridCol w:w="595"/>
        <w:gridCol w:w="1815"/>
        <w:gridCol w:w="3976"/>
      </w:tblGrid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af7"/>
              <w:spacing w:before="4" w:after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Информация об объекте обсуждений, подлежащем рассмотрению на общественных обсуждениях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af7"/>
              <w:spacing w:before="4" w:after="1"/>
              <w:ind w:left="3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 Сведения о заказчике (исполнителе)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Публичное акционерное общество «Сургутнефтегаз» Неф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тегазодобывающее управление «Талаканнефть»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«Сургутнефтегаз» НГДУ «Талаканнефть»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8602060555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1028600584540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Юридический и фактический</w:t>
            </w:r>
            <w:r w:rsidRPr="008F25C9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628415, Ханты-Мансийский автономный округ-Югра, г.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Сургут,  ул. Григория Кукуевицкого,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628415, ХМАО–Югра, город Сургут, улица Григория Кукуевицкого,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 1, корпус 1.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628418, Российская Федерация, Тюменская область, Ханты-Мансийский автономный округ-Югра, г.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Сургут, ул.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Профсоюзов, 11/1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628415, Российская Федерация, Тюменская область, ХМАО-Югра, г.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Сургут, ул.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Энтузиастов, 50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Контактные да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нные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8F25C9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5C5EE7"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5EE7"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(3462) 41-03-04, ф.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5EE7"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(3462) 41-05-04</w:t>
            </w:r>
          </w:p>
          <w:p w:rsidR="00000000" w:rsidRPr="008F25C9" w:rsidRDefault="005C5EE7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 почта: ngdutn-ext@surgutneftegas.ru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ипального района «Ленский район» Республики Саха (Якутия)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МР «Ленский район»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 Наименование</w:t>
            </w:r>
            <w:r w:rsidRPr="008F25C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объекта обсуждений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8F25C9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Предварительные материалы</w:t>
            </w:r>
            <w:r w:rsidR="005C5EE7"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оценки воздействия на окружающую среду по объекту «Кусты скважин 64, 80, </w:t>
            </w:r>
            <w:r w:rsidR="005C5EE7"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81». Северо-Талаканское газонефтяное месторождение»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объекта: «Кусты скважин 64, 80, 81». Северо-Талаканское газонефтяное месторождение»  (шифр 25165).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 Цель планируемой хо</w:t>
            </w: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зяйственной и иной деятельности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кустов скважин для герметичного сбора нефтегазовой эмульсии из добывающих скважин.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1.6. Предварительное место реализации планируемой хозяйственной и иной деятельности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ind w:left="142" w:hanging="142"/>
              <w:rPr>
                <w:rFonts w:ascii="Times New Roman" w:hAnsi="Times New Roman" w:cs="Times New Roman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Российская Федерация, Республика Саха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(Якутия), муниципальный район Ленский, Северо-Талаканский участок недр, Северо-Талаканское газонефтяное месторождение. 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8F25C9">
              <w:rPr>
                <w:rFonts w:ascii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стороны</w:t>
            </w:r>
            <w:r w:rsidRPr="008F25C9">
              <w:rPr>
                <w:rFonts w:ascii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Ямалиева Резеда Мансуровна, тел.: 8(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3462) 41-06-16</w:t>
            </w:r>
          </w:p>
          <w:p w:rsidR="00000000" w:rsidRPr="008F25C9" w:rsidRDefault="005C5EE7">
            <w:pPr>
              <w:pStyle w:val="TableParagraph"/>
              <w:spacing w:line="276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 почта: ngdutn-ext@surgutneftegas.ru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стороны исполнителя 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Куриленко Мария Игоревна, тел.: +7 (3462) 42-70-62,                                    эл. почта: </w:t>
            </w:r>
            <w:hyperlink r:id="rId7" w:history="1">
              <w:r w:rsidRPr="008F25C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snipi@surgutneftegas.ru</w:t>
              </w:r>
            </w:hyperlink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af7"/>
              <w:ind w:left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Инфо</w:t>
            </w: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Место, в котором размещен и доступен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очного ознакомления объект обсуждений.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«Ленский район», 678144, Республика Саха (Якутия), Ленский район, г.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65, каб.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открытия доступа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29.05.2026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29.05.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– 27.06.2026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рабочие дни с 09.00 до 17.00, перерыв 12.30-14.00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af7"/>
              <w:ind w:left="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 Информация о размещении объекта обсуждений в сети «Интернет», содержащая электронную ссылку на место р</w:t>
            </w: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азмещения указанных материалов в сети «Интернет», о дате и сроке их размещения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:rsidR="00000000" w:rsidRPr="008F25C9" w:rsidRDefault="005C5EE7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" w:history="1">
              <w:r w:rsidRPr="008F25C9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https://www.surgutneftegas.</w:t>
              </w:r>
              <w:r w:rsidRPr="008F25C9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000000" w:rsidRPr="008F25C9" w:rsidRDefault="005C5EE7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(примечание: * - наименование вложения на странице сайта сети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«Интернет» - «Кусты скважин 64, 80, 81». Северо-Талаканское газонефтяное месторождение»  (шифр 25165).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29.05.2026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29.05.2026 – 27.06.2026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ind w:left="10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Электронная ссылка на место размещения оконч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ательных материалов оценки воздействия на окружающую среду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:rsidR="00000000" w:rsidRPr="008F25C9" w:rsidRDefault="005C5EE7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hyperlink r:id="rId9" w:history="1">
              <w:r w:rsidRPr="008F25C9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https://www.surgutneftegas.ru/responsibility/ecology/svedeniya-dlya-obshchestvennosti/svedeniya-ob-otsenke-vozdeystviya-na-okruzhayushchuyu-s</w:t>
              </w:r>
              <w:r w:rsidRPr="008F25C9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redu-namechaemoy-khozyaystvennoy-deyatelnosti/materialy-ovos/</w:t>
              </w:r>
            </w:hyperlink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(примечание: * - наименование вложения на странице сайта сети «Интернет» - «Кусты скважин 64, 80, 81». Северо-Талаканское газонефтяное месторождение»  (шифр 25165).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Информация о возможнос</w:t>
            </w: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 проведения по инициативе граждан слушаний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посредством официального сайта уполном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оченного органа в сети 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адресу: Администрация муниципального района «Ленский район», 678144, Республика Саха (Якутия), Ленский район, г.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65,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каб.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221.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отку персональных данных в соответствии с законодательством Российской Федерации в области персональных данных.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внесении гражданином инициативы о проведении слушаний дата проведения таких слушаний назначается не ранее чем через 3 календарных дня после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в пределах места нахождения уполномо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678144, Республика Саха (Якутия), Ленский район, г.</w:t>
            </w:r>
            <w:r w:rsidR="008F25C9"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8F25C9"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д.</w:t>
            </w:r>
            <w:r w:rsidR="008F25C9"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 Администрация муниципального района «Ленский район» Республики Саха (Якутия)</w:t>
            </w: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Контактные данные (телефон и адрес электронной почты, факс (при наличии) ответственного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лица (ответственных лиц) со стороны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тел.: (41137) 3-00-84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</w:t>
            </w:r>
            <w:r w:rsidR="008F25C9"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почта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hyperlink r:id="rId10" w:history="1">
              <w:r w:rsidRPr="008F25C9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kio</w:t>
              </w:r>
              <w:r w:rsidRPr="008F25C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@</w:t>
              </w:r>
              <w:r w:rsidRPr="008F25C9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lenskrayon</w:t>
              </w:r>
              <w:r w:rsidRPr="008F25C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.</w:t>
              </w:r>
              <w:r w:rsidRPr="008F25C9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ru</w:t>
              </w:r>
            </w:hyperlink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касающихся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Par0"/>
            <w:bookmarkEnd w:id="0"/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000000" w:rsidRPr="008F25C9" w:rsidRDefault="005C5EE7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в адрес уполномоченного органа:</w:t>
            </w:r>
          </w:p>
          <w:p w:rsidR="00000000" w:rsidRPr="008F25C9" w:rsidRDefault="005C5EE7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в письмен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виде в адрес уполномоченного органа: Республика Саха (Якутия), у. Ленский, г.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д.</w:t>
            </w:r>
            <w:r w:rsid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65, Муниципальное казенное учреждение «Комитет имущественных отношений» муниципального района «Ленский район» </w:t>
            </w:r>
            <w:r w:rsidR="00B4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Республики Саха (Якутия) </w:t>
            </w:r>
            <w:bookmarkStart w:id="1" w:name="_GoBack"/>
            <w:bookmarkEnd w:id="1"/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(МКУ «КИО МР «Ленский район») с 08:30 до 17:0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по будням. Обеденный перерыв с 12:30 до 14:00 ч. Телефон: (41137) 3-00-84. Получатель: Иннокентьева Анна Андреевна.</w:t>
            </w:r>
          </w:p>
          <w:p w:rsidR="00000000" w:rsidRPr="00B4208F" w:rsidRDefault="005C5EE7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в </w:t>
            </w:r>
            <w:r w:rsidRPr="00B4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электронном виде – по эл. адресу уполномоченного органа на e-mail: </w:t>
            </w:r>
            <w:r w:rsidRPr="00B4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hyperlink r:id="rId11" w:history="1">
              <w:r w:rsidRPr="00B4208F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kio</w:t>
              </w:r>
              <w:r w:rsidRPr="00B4208F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@</w:t>
              </w:r>
              <w:r w:rsidRPr="00B4208F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lenskrayon</w:t>
              </w:r>
              <w:r w:rsidRPr="00B4208F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.</w:t>
              </w:r>
              <w:r w:rsidRPr="00B4208F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ru</w:t>
              </w:r>
            </w:hyperlink>
            <w:r w:rsidRPr="00B4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в пи</w:t>
            </w:r>
            <w:r w:rsidRPr="00B4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сьменной или устной форме в ходе проведения слушаний (в случае проведения таких слушаний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г) посредством записи в журнале учета участников общественных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обсуждений, очно ознакомляющихся с объектом обсуждений, и их замечаний и предложений.</w:t>
            </w:r>
            <w:bookmarkStart w:id="2" w:name="Par5"/>
            <w:bookmarkEnd w:id="2"/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физических лиц - фамилия, имя, отчество (при наличии)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дата рождения, адрес места жительства (регистрации), телефон, адрес электронной почты (при наличии) &lt;*&gt;;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согласие на обработку персональных данных в соответствии с законодательством Росси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йской Федерации в области персональных данных &lt;*&gt;;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3" w:name="Par10"/>
            <w:bookmarkEnd w:id="3"/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-------------------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&lt;*&gt; - в случае отказа участника общественных обсу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4" w:name="Par11"/>
            <w:bookmarkEnd w:id="4"/>
          </w:p>
        </w:tc>
      </w:tr>
      <w:tr w:rsidR="00000000" w:rsidRPr="008F2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слушаний может б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ыть инициировано гражданами в течение 1 рабочего дня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осредством официального сайта уполномоченного органа в сети «Интернет» или информационных систем;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      </w:r>
          </w:p>
          <w:p w:rsidR="00000000" w:rsidRPr="008F25C9" w:rsidRDefault="005C5EE7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</w:t>
            </w:r>
            <w:r w:rsidRPr="008F25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в соответствии с законодательством Российской Федерации в области персональных данных</w:t>
            </w:r>
          </w:p>
        </w:tc>
      </w:tr>
    </w:tbl>
    <w:p w:rsidR="00000000" w:rsidRPr="008F25C9" w:rsidRDefault="005C5EE7">
      <w:pPr>
        <w:pStyle w:val="af7"/>
        <w:ind w:left="1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C5EE7" w:rsidRPr="008F25C9" w:rsidRDefault="005C5EE7">
      <w:pPr>
        <w:pStyle w:val="af7"/>
        <w:ind w:left="108"/>
        <w:jc w:val="center"/>
        <w:rPr>
          <w:rFonts w:ascii="Times New Roman" w:hAnsi="Times New Roman" w:cs="Times New Roman"/>
          <w:b/>
          <w:bCs/>
        </w:rPr>
      </w:pPr>
      <w:r w:rsidRPr="008F25C9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</w:t>
      </w:r>
      <w:r w:rsidRPr="008F25C9">
        <w:rPr>
          <w:rFonts w:ascii="Times New Roman" w:hAnsi="Times New Roman" w:cs="Times New Roman"/>
          <w:b/>
          <w:bCs/>
        </w:rPr>
        <w:t>____</w:t>
      </w:r>
    </w:p>
    <w:sectPr w:rsidR="005C5EE7" w:rsidRPr="008F25C9">
      <w:pgSz w:w="11910" w:h="16840"/>
      <w:pgMar w:top="993" w:right="851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EE7" w:rsidRDefault="005C5EE7">
      <w:r>
        <w:rPr>
          <w:sz w:val="24"/>
          <w:szCs w:val="24"/>
        </w:rPr>
        <w:separator/>
      </w:r>
    </w:p>
  </w:endnote>
  <w:endnote w:type="continuationSeparator" w:id="0">
    <w:p w:rsidR="005C5EE7" w:rsidRDefault="005C5EE7">
      <w:r>
        <w:rPr>
          <w:sz w:val="24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NewRoman">
    <w:altName w:val="MS UI Gothic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egoeU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EE7" w:rsidRDefault="005C5EE7">
      <w:r>
        <w:rPr>
          <w:sz w:val="24"/>
          <w:szCs w:val="24"/>
        </w:rPr>
        <w:separator/>
      </w:r>
    </w:p>
  </w:footnote>
  <w:footnote w:type="continuationSeparator" w:id="0">
    <w:p w:rsidR="005C5EE7" w:rsidRDefault="005C5EE7"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90522FEE"/>
    <w:lvl w:ilvl="0" w:tplc="0FA47BA4">
      <w:start w:val="1"/>
      <w:numFmt w:val="decimal"/>
      <w:lvlText w:val="%1."/>
      <w:lvlJc w:val="left"/>
      <w:pPr>
        <w:ind w:hanging="360"/>
      </w:pPr>
    </w:lvl>
    <w:lvl w:ilvl="1" w:tplc="CCA0A69A">
      <w:numFmt w:val="none"/>
      <w:lvlText w:val=""/>
      <w:lvlJc w:val="left"/>
      <w:pPr>
        <w:tabs>
          <w:tab w:val="num" w:pos="360"/>
        </w:tabs>
      </w:pPr>
    </w:lvl>
    <w:lvl w:ilvl="2" w:tplc="157C90C2">
      <w:numFmt w:val="none"/>
      <w:lvlText w:val=""/>
      <w:lvlJc w:val="left"/>
      <w:pPr>
        <w:tabs>
          <w:tab w:val="num" w:pos="360"/>
        </w:tabs>
      </w:pPr>
    </w:lvl>
    <w:lvl w:ilvl="3" w:tplc="D884BBE6">
      <w:numFmt w:val="none"/>
      <w:lvlText w:val=""/>
      <w:lvlJc w:val="left"/>
      <w:pPr>
        <w:tabs>
          <w:tab w:val="num" w:pos="360"/>
        </w:tabs>
      </w:pPr>
    </w:lvl>
    <w:lvl w:ilvl="4" w:tplc="DF7891AC">
      <w:numFmt w:val="none"/>
      <w:lvlText w:val=""/>
      <w:lvlJc w:val="left"/>
      <w:pPr>
        <w:tabs>
          <w:tab w:val="num" w:pos="360"/>
        </w:tabs>
      </w:pPr>
    </w:lvl>
    <w:lvl w:ilvl="5" w:tplc="E7AA22C6">
      <w:numFmt w:val="none"/>
      <w:lvlText w:val=""/>
      <w:lvlJc w:val="left"/>
      <w:pPr>
        <w:tabs>
          <w:tab w:val="num" w:pos="360"/>
        </w:tabs>
      </w:pPr>
    </w:lvl>
    <w:lvl w:ilvl="6" w:tplc="52C84C14">
      <w:numFmt w:val="none"/>
      <w:lvlText w:val=""/>
      <w:lvlJc w:val="left"/>
      <w:pPr>
        <w:tabs>
          <w:tab w:val="num" w:pos="360"/>
        </w:tabs>
      </w:pPr>
    </w:lvl>
    <w:lvl w:ilvl="7" w:tplc="027A5692">
      <w:numFmt w:val="none"/>
      <w:lvlText w:val=""/>
      <w:lvlJc w:val="left"/>
      <w:pPr>
        <w:tabs>
          <w:tab w:val="num" w:pos="360"/>
        </w:tabs>
      </w:pPr>
    </w:lvl>
    <w:lvl w:ilvl="8" w:tplc="A7D666C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</w:lvl>
    <w:lvl w:ilvl="1" w:tplc="FFFFFFFF">
      <w:start w:val="1"/>
      <w:numFmt w:val="lowerLetter"/>
      <w:lvlText w:val="%2."/>
      <w:lvlJc w:val="left"/>
      <w:pPr>
        <w:ind w:hanging="360"/>
      </w:pPr>
    </w:lvl>
    <w:lvl w:ilvl="2" w:tplc="FFFFFFFF">
      <w:start w:val="1"/>
      <w:numFmt w:val="lowerRoman"/>
      <w:lvlText w:val="%3."/>
      <w:lvlJc w:val="right"/>
      <w:pPr>
        <w:ind w:hanging="180"/>
      </w:pPr>
    </w:lvl>
    <w:lvl w:ilvl="3" w:tplc="FFFFFFFF">
      <w:start w:val="1"/>
      <w:numFmt w:val="decimal"/>
      <w:lvlText w:val="%4."/>
      <w:lvlJc w:val="left"/>
      <w:pPr>
        <w:ind w:hanging="360"/>
      </w:pPr>
    </w:lvl>
    <w:lvl w:ilvl="4" w:tplc="FFFFFFFF">
      <w:start w:val="1"/>
      <w:numFmt w:val="lowerLetter"/>
      <w:lvlText w:val="%5."/>
      <w:lvlJc w:val="left"/>
      <w:pPr>
        <w:ind w:hanging="360"/>
      </w:pPr>
    </w:lvl>
    <w:lvl w:ilvl="5" w:tplc="FFFFFFFF">
      <w:start w:val="1"/>
      <w:numFmt w:val="lowerRoman"/>
      <w:lvlText w:val="%6."/>
      <w:lvlJc w:val="right"/>
      <w:pPr>
        <w:ind w:hanging="180"/>
      </w:pPr>
    </w:lvl>
    <w:lvl w:ilvl="6" w:tplc="FFFFFFFF">
      <w:start w:val="1"/>
      <w:numFmt w:val="decimal"/>
      <w:lvlText w:val="%7."/>
      <w:lvlJc w:val="left"/>
      <w:pPr>
        <w:ind w:hanging="360"/>
      </w:pPr>
    </w:lvl>
    <w:lvl w:ilvl="7" w:tplc="FFFFFFFF">
      <w:start w:val="1"/>
      <w:numFmt w:val="lowerLetter"/>
      <w:lvlText w:val="%8."/>
      <w:lvlJc w:val="left"/>
      <w:pPr>
        <w:ind w:hanging="360"/>
      </w:pPr>
    </w:lvl>
    <w:lvl w:ilvl="8" w:tplc="FFFFFFFF">
      <w:start w:val="1"/>
      <w:numFmt w:val="lowerRoman"/>
      <w:lvlText w:val="%9."/>
      <w:lvlJc w:val="right"/>
      <w:pPr>
        <w:ind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C9"/>
    <w:rsid w:val="004646A9"/>
    <w:rsid w:val="005C5EE7"/>
    <w:rsid w:val="008F25C9"/>
    <w:rsid w:val="00B4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CA32C"/>
  <w14:defaultImageDpi w14:val="0"/>
  <w15:docId w15:val="{4666D4FE-40CC-4CF7-9C7B-12422093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">
    <w:name w:val="Heading 1 Char"/>
    <w:basedOn w:val="a0"/>
    <w:uiPriority w:val="99"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contextualSpacing/>
    </w:pPr>
    <w:rPr>
      <w:rFonts w:ascii=" Arial" w:hAnsi=" Arial" w:cs=" Arial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pPr>
      <w:spacing w:before="200" w:after="200"/>
    </w:pPr>
    <w:rPr>
      <w:rFonts w:ascii=" Arial" w:hAnsi=" Arial" w:cs=" Arial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customStyle="1" w:styleId="QuoteChar">
    <w:name w:val="Quote Char"/>
    <w:uiPriority w:val="99"/>
    <w:rPr>
      <w:rFonts w:ascii=" Arial" w:hAnsi=" Arial" w:cs=" Arial"/>
      <w:i/>
      <w:iCs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5B9BD5" w:themeColor="accent1"/>
    </w:rPr>
  </w:style>
  <w:style w:type="character" w:customStyle="1" w:styleId="IntenseQuoteChar">
    <w:name w:val="Intense Quote Char"/>
    <w:uiPriority w:val="99"/>
    <w:rPr>
      <w:rFonts w:ascii=" Arial" w:hAnsi=" Arial" w:cs=" Arial"/>
      <w:i/>
      <w:iCs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e">
    <w:name w:val="caption"/>
    <w:basedOn w:val="a"/>
    <w:next w:val="a"/>
    <w:uiPriority w:val="99"/>
    <w:qFormat/>
    <w:pPr>
      <w:spacing w:line="276" w:lineRule="auto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/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rFonts w:ascii=" Arial" w:hAnsi=" Arial" w:cs=" Arial"/>
      <w:sz w:val="18"/>
      <w:szCs w:val="18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 w:cs=" Arial"/>
      <w:sz w:val="18"/>
      <w:szCs w:val="18"/>
    </w:rPr>
  </w:style>
  <w:style w:type="character" w:styleId="af1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rFonts w:ascii=" Arial" w:hAnsi=" Arial" w:cs=" Arial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 w:cs=" Arial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Arial" w:hAnsi=" Arial" w:cs=" Arial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Arial" w:hAnsi=" Arial" w:cs=" Arial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Arial" w:hAnsi=" Arial" w:cs=" Arial"/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Arial" w:hAnsi=" Arial" w:cs=" Arial"/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Arial" w:hAnsi=" Arial" w:cs=" Arial"/>
      <w:sz w:val="24"/>
      <w:szCs w:val="24"/>
    </w:rPr>
  </w:style>
  <w:style w:type="paragraph" w:styleId="af5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6">
    <w:name w:val="table of figures"/>
    <w:basedOn w:val="a"/>
    <w:next w:val="a"/>
    <w:uiPriority w:val="99"/>
    <w:unhideWhenUsed/>
    <w:rPr>
      <w:rFonts w:ascii=" Arial" w:hAnsi=" Arial" w:cs=" Arial"/>
      <w:sz w:val="24"/>
      <w:szCs w:val="24"/>
    </w:rPr>
  </w:style>
  <w:style w:type="paragraph" w:styleId="af7">
    <w:name w:val="Body Text"/>
    <w:basedOn w:val="a"/>
    <w:link w:val="af8"/>
    <w:uiPriority w:val="99"/>
    <w:qFormat/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99"/>
    <w:semiHidden/>
    <w:rPr>
      <w:rFonts w:ascii=" TimesNewRoman" w:hAnsi=" TimesNewRoman" w:cs=" TimesNewRoman"/>
    </w:rPr>
  </w:style>
  <w:style w:type="paragraph" w:styleId="af9">
    <w:name w:val="List Paragraph"/>
    <w:basedOn w:val="a"/>
    <w:uiPriority w:val="99"/>
    <w:qFormat/>
    <w:rPr>
      <w:sz w:val="24"/>
      <w:szCs w:val="24"/>
    </w:rPr>
  </w:style>
  <w:style w:type="paragraph" w:customStyle="1" w:styleId="TableParagraph">
    <w:name w:val="Table Paragraph"/>
    <w:basedOn w:val="a"/>
    <w:uiPriority w:val="99"/>
    <w:qFormat/>
    <w:pPr>
      <w:ind w:left="107"/>
    </w:pPr>
    <w:rPr>
      <w:sz w:val="24"/>
      <w:szCs w:val="24"/>
    </w:rPr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character" w:styleId="afb">
    <w:name w:val="Hyperlink"/>
    <w:basedOn w:val="a0"/>
    <w:uiPriority w:val="99"/>
    <w:rPr>
      <w:rFonts w:ascii=" TimesNewRoman" w:hAnsi=" TimesNewRoman" w:cs=" TimesNewRoman"/>
      <w:color w:val="0563C1"/>
      <w:u w:val="single"/>
    </w:rPr>
  </w:style>
  <w:style w:type="character" w:styleId="afc">
    <w:name w:val="FollowedHyperlink"/>
    <w:basedOn w:val="a0"/>
    <w:uiPriority w:val="99"/>
    <w:rPr>
      <w:rFonts w:ascii=" TimesNewRoman" w:hAnsi=" TimesNewRoman" w:cs=" TimesNewRoman"/>
      <w:color w:val="954F72"/>
      <w:u w:val="single"/>
    </w:rPr>
  </w:style>
  <w:style w:type="paragraph" w:styleId="afd">
    <w:name w:val="Balloon Text"/>
    <w:basedOn w:val="a"/>
    <w:link w:val="afe"/>
    <w:uiPriority w:val="99"/>
    <w:rPr>
      <w:rFonts w:ascii=" SegoeUI" w:hAnsi=" SegoeUI" w:cs=" Segoe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rPr>
      <w:rFonts w:ascii=" SegoeUI" w:hAnsi=" SegoeUI" w:cs=" Segoe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nipi@surgutneftega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io@lenskray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io@lenskray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&amp;amp;amp;amp;amp;amp;amp;amp;amp;amp;amp;amp;amp;amp;amp;amp;amp;lt;4D6963726F736F667420576F7264202D20323032342E30342E31375FEFF0EEE5EAF220F3E2E5E4EEECEBE5EDE8FF20EE20F1EBF3F8E0EDE8FFF55FF1E2E0EBEAE020D2CACE20CFEEEBEDEEE2E0F2&amp;amp;amp;amp;amp;amp;amp;amp;am</vt:lpstr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&amp;amp;amp;amp;amp;amp;amp;amp;amp;amp;amp;amp;amp;amp;amp;amp;amp;lt;4D6963726F736F667420576F7264202D20323032342E30342E31375FEFF0EEE5EAF220F3E2E5E4EEECEBE5EDE8FF20EE20F1EBF3F8E0EDE8FFF55FF1E2E0EBEAE020D2CACE20CFEEEBEDEEE2E0F2&amp;amp;amp;amp;amp;amp;amp;amp;am</dc:title>
  <dc:subject/>
  <dc:creator>astapovich_tg</dc:creator>
  <cp:keywords/>
  <dc:description/>
  <cp:lastModifiedBy>User</cp:lastModifiedBy>
  <cp:revision>2</cp:revision>
  <dcterms:created xsi:type="dcterms:W3CDTF">2026-05-22T06:18:00Z</dcterms:created>
  <dcterms:modified xsi:type="dcterms:W3CDTF">2026-05-22T06:18:00Z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Р7-Офис/2026.1.2.1942</vt:lpwstr>
  </property>
</Properties>
</file>