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650F5B" w:rsidRPr="00650F5B" w:rsidTr="002C225D">
        <w:tc>
          <w:tcPr>
            <w:tcW w:w="4926" w:type="dxa"/>
            <w:hideMark/>
          </w:tcPr>
          <w:p w:rsidR="007D4D92" w:rsidRPr="00650F5B" w:rsidRDefault="007D4D92" w:rsidP="002C225D">
            <w:pPr>
              <w:tabs>
                <w:tab w:val="left" w:pos="6025"/>
              </w:tabs>
              <w:spacing w:line="360" w:lineRule="auto"/>
              <w:jc w:val="both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 w:rsidRPr="00650F5B">
              <w:rPr>
                <w:rFonts w:ascii="Arial" w:hAnsi="Arial" w:cs="Arial"/>
                <w:sz w:val="24"/>
              </w:rPr>
              <w:t xml:space="preserve">     </w:t>
            </w:r>
          </w:p>
        </w:tc>
        <w:tc>
          <w:tcPr>
            <w:tcW w:w="4927" w:type="dxa"/>
          </w:tcPr>
          <w:p w:rsidR="007D4D92" w:rsidRPr="00650F5B" w:rsidRDefault="007D4D92" w:rsidP="002C225D">
            <w:pPr>
              <w:tabs>
                <w:tab w:val="left" w:pos="6025"/>
              </w:tabs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Приложение к постановлению</w:t>
            </w:r>
          </w:p>
          <w:p w:rsidR="007D4D92" w:rsidRPr="00650F5B" w:rsidRDefault="00492FBC" w:rsidP="002C225D">
            <w:pPr>
              <w:tabs>
                <w:tab w:val="left" w:pos="6025"/>
              </w:tabs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 xml:space="preserve">и.о. </w:t>
            </w:r>
            <w:r w:rsidR="007D4D92" w:rsidRPr="00650F5B">
              <w:rPr>
                <w:sz w:val="28"/>
                <w:szCs w:val="28"/>
              </w:rPr>
              <w:t>главы МО «Ленский район»</w:t>
            </w:r>
          </w:p>
          <w:p w:rsidR="007D4D92" w:rsidRPr="00650F5B" w:rsidRDefault="007D4D92" w:rsidP="002C225D">
            <w:pPr>
              <w:tabs>
                <w:tab w:val="left" w:pos="6025"/>
              </w:tabs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от  «</w:t>
            </w:r>
            <w:r w:rsidR="003A721F" w:rsidRPr="00650F5B">
              <w:rPr>
                <w:sz w:val="28"/>
                <w:szCs w:val="28"/>
              </w:rPr>
              <w:t>___</w:t>
            </w:r>
            <w:r w:rsidRPr="00650F5B">
              <w:rPr>
                <w:sz w:val="28"/>
                <w:szCs w:val="28"/>
              </w:rPr>
              <w:t xml:space="preserve">»  </w:t>
            </w:r>
            <w:r w:rsidR="003A721F" w:rsidRPr="00650F5B">
              <w:rPr>
                <w:sz w:val="28"/>
                <w:szCs w:val="28"/>
              </w:rPr>
              <w:t>__________</w:t>
            </w:r>
            <w:r w:rsidRPr="00650F5B">
              <w:rPr>
                <w:sz w:val="28"/>
                <w:szCs w:val="28"/>
              </w:rPr>
              <w:t xml:space="preserve"> 2020 г.</w:t>
            </w:r>
          </w:p>
          <w:p w:rsidR="007D4D92" w:rsidRPr="00650F5B" w:rsidRDefault="007D4D92" w:rsidP="002C225D">
            <w:pPr>
              <w:tabs>
                <w:tab w:val="left" w:pos="6025"/>
              </w:tabs>
              <w:rPr>
                <w:b/>
                <w:snapToGrid w:val="0"/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 xml:space="preserve">№ </w:t>
            </w:r>
            <w:r w:rsidR="003A721F" w:rsidRPr="00650F5B">
              <w:rPr>
                <w:snapToGrid w:val="0"/>
                <w:sz w:val="28"/>
                <w:szCs w:val="28"/>
              </w:rPr>
              <w:t>_________________________</w:t>
            </w:r>
          </w:p>
          <w:p w:rsidR="00773B56" w:rsidRPr="00650F5B" w:rsidRDefault="00773B56" w:rsidP="002C225D">
            <w:pPr>
              <w:tabs>
                <w:tab w:val="left" w:pos="6025"/>
              </w:tabs>
              <w:rPr>
                <w:rFonts w:ascii="Arial" w:hAnsi="Arial" w:cs="Arial"/>
                <w:sz w:val="24"/>
              </w:rPr>
            </w:pPr>
          </w:p>
        </w:tc>
      </w:tr>
    </w:tbl>
    <w:p w:rsidR="007D4D92" w:rsidRPr="00650F5B" w:rsidRDefault="007D4D92" w:rsidP="007D4D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50F5B">
        <w:rPr>
          <w:b/>
          <w:sz w:val="28"/>
          <w:szCs w:val="28"/>
        </w:rPr>
        <w:t>Развитие транспортного комплекса</w:t>
      </w:r>
    </w:p>
    <w:p w:rsidR="007D4D92" w:rsidRPr="00650F5B" w:rsidRDefault="007D4D92" w:rsidP="007D4D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50F5B">
        <w:rPr>
          <w:b/>
          <w:bCs/>
          <w:sz w:val="28"/>
          <w:szCs w:val="28"/>
        </w:rPr>
        <w:t xml:space="preserve">муниципального образования «Ленский район» </w:t>
      </w:r>
    </w:p>
    <w:p w:rsidR="007D4D92" w:rsidRPr="00650F5B" w:rsidRDefault="007D4D92" w:rsidP="007D4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283"/>
      <w:bookmarkEnd w:id="1"/>
      <w:r w:rsidRPr="00650F5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D4D92" w:rsidRPr="00650F5B" w:rsidRDefault="007D4D92" w:rsidP="007D4D9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транспортного комплекса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«Ленский район»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Курирующий орган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МО «Ленский район»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487F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МО «Ленский район», администрация МО «Город Ленск.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487FAF" w:rsidP="00487F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Администрация МО «Город Ленск»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7D4D92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Воздушный транспорт;</w:t>
            </w:r>
          </w:p>
          <w:p w:rsidR="007D4D92" w:rsidRPr="00650F5B" w:rsidRDefault="007D4D92" w:rsidP="007D4D92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Водный транспорт;</w:t>
            </w:r>
          </w:p>
          <w:p w:rsidR="007D4D92" w:rsidRPr="00650F5B" w:rsidRDefault="007D4D92" w:rsidP="007D4D92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Дорожное хозяйство.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Формирование сбалансированной транспортной системы Ленского района, направленной на повышение привлекательности территории для жизни и работы людей, расширение производства, сферы обслуживания, повышение конкурентоспособности, общественной и инвестиционной активности.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numPr>
                <w:ilvl w:val="0"/>
                <w:numId w:val="2"/>
              </w:numPr>
              <w:ind w:left="157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транспортных условий, повышение комплексной безопасности и устойчивости транспортной системы.</w:t>
            </w:r>
          </w:p>
          <w:p w:rsidR="007D4D92" w:rsidRPr="00650F5B" w:rsidRDefault="007D4D92" w:rsidP="00487FAF">
            <w:pPr>
              <w:pStyle w:val="ConsPlusNormal"/>
              <w:numPr>
                <w:ilvl w:val="0"/>
                <w:numId w:val="2"/>
              </w:numPr>
              <w:ind w:left="16" w:firstLine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маршрутной сети и инфраструктуры пассажирского транспорта, включая приоритетное развитие субсидированного водного и воздушного транспорта.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Целевые показатели (индикаторы)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8F" w:rsidRPr="00650F5B" w:rsidRDefault="00DC0129" w:rsidP="00A57FDE">
            <w:pPr>
              <w:pStyle w:val="ConsPlusNormal"/>
              <w:ind w:left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>Протяженность отремонтированных автомобильных дорог общего пользования местного значения в год</w:t>
            </w:r>
          </w:p>
          <w:p w:rsidR="00190E8F" w:rsidRPr="00650F5B" w:rsidRDefault="00190E8F" w:rsidP="00190E8F">
            <w:pPr>
              <w:pStyle w:val="ConsPlusNormal"/>
              <w:ind w:left="157" w:hanging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2019г.– 7000 м2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2020г.        –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2021г.        –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2022г.        –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2023г.        – </w:t>
            </w:r>
          </w:p>
          <w:p w:rsidR="00190E8F" w:rsidRPr="00650F5B" w:rsidRDefault="00190E8F" w:rsidP="00190E8F">
            <w:pPr>
              <w:pStyle w:val="ConsPlusNormal"/>
              <w:ind w:left="1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DC0129" w:rsidP="00A57FDE">
            <w:pPr>
              <w:pStyle w:val="ConsPlusNormal"/>
              <w:ind w:left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3A721F" w:rsidRPr="00650F5B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отремонтированных </w:t>
            </w:r>
            <w:r w:rsidR="00467CAC" w:rsidRPr="00650F5B">
              <w:rPr>
                <w:rFonts w:ascii="Times New Roman" w:hAnsi="Times New Roman" w:cs="Times New Roman"/>
                <w:sz w:val="26"/>
                <w:szCs w:val="26"/>
              </w:rPr>
              <w:t>автомобильных дорог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в год:</w:t>
            </w:r>
          </w:p>
          <w:p w:rsidR="007D4D92" w:rsidRPr="00650F5B" w:rsidRDefault="007D4D92" w:rsidP="002C225D">
            <w:pPr>
              <w:pStyle w:val="ConsPlusNormal"/>
              <w:ind w:left="157" w:hanging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2020г.–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94 000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2021г.–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150 000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21 000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DC0129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новых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дорожных знаков, барьерных ограждений в год: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– 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  <w:p w:rsidR="00A57FDE" w:rsidRPr="00650F5B" w:rsidRDefault="00A57FDE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0E8F" w:rsidRPr="00650F5B" w:rsidRDefault="00DC0129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перевезенных пассажиров всеми видами транспорта в год: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 г. – 5 000 человек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             – 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             – 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             –  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             –  </w:t>
            </w:r>
          </w:p>
          <w:p w:rsidR="00190E8F" w:rsidRPr="00650F5B" w:rsidRDefault="00190E8F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DC0129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перевезенных пассажиров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за счет программных мероприятий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в год:</w:t>
            </w:r>
          </w:p>
          <w:p w:rsidR="00190E8F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450820" w:rsidRPr="00650F5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450820" w:rsidRPr="00650F5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6 </w:t>
            </w:r>
            <w:r w:rsidR="00450820" w:rsidRPr="00650F5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0 человек </w:t>
            </w:r>
          </w:p>
          <w:p w:rsidR="007D4D92" w:rsidRPr="00650F5B" w:rsidRDefault="007D4D92" w:rsidP="004508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r w:rsidR="00450820" w:rsidRPr="00650F5B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="00450820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2019-2023гг.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в цело</w:t>
            </w:r>
            <w:r w:rsidR="00FB616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м на реализацию программы – 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811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.13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371 584 059.00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721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.96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177 994 427.17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83B17" w:rsidRPr="00650F5B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F83B17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83B17" w:rsidRPr="00650F5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B616F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> 755 43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81D6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,50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а) за счет средств федерального бюджета – 0 рублей, в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б) за счет средств государственного бюджета РС(Я) -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в) за счет средств б</w:t>
            </w:r>
            <w:r w:rsidR="00FB616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юджета МО «Ленский район»  -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892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.61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318 665 828.48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109 721 819.96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177 994 427.17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 755 43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.50</w:t>
            </w:r>
            <w:r w:rsidR="00FB616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руб. 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 755 43</w:t>
            </w:r>
            <w:r w:rsidR="00E22685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.50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г) за счет средств бюджетов  поселений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52 918 230.52</w:t>
            </w:r>
            <w:r w:rsidR="00FB616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52 918 230.52 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2020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д) за счет внебюджетных средств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2020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0 руб. </w:t>
            </w:r>
          </w:p>
        </w:tc>
      </w:tr>
      <w:tr w:rsidR="007D4D92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DE" w:rsidRPr="00650F5B" w:rsidRDefault="00A57FDE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Протяженность отремонтированных автомобильных дорог общего пользования местного значения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>за период с 2019 по 2023 год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, не менее 7000м2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B0202" w:rsidRPr="00650F5B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отремонтированных </w:t>
            </w:r>
            <w:r w:rsidR="00467CAC" w:rsidRPr="00650F5B">
              <w:rPr>
                <w:rFonts w:ascii="Times New Roman" w:hAnsi="Times New Roman" w:cs="Times New Roman"/>
                <w:sz w:val="26"/>
                <w:szCs w:val="26"/>
              </w:rPr>
              <w:t>автомобильных дорог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>за период с 2019 по 2023 год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 не менее </w:t>
            </w:r>
            <w:r w:rsidR="00A57FDE" w:rsidRPr="00650F5B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  <w:r w:rsidR="000061F6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м2.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установленных новых дорожных знаков и барьерных ограждений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за период с 2019 по 2023 год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  <w:p w:rsidR="00A57FDE" w:rsidRPr="00650F5B" w:rsidRDefault="007D4D92" w:rsidP="00502B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57FDE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перевезенных пассажиров всеми видами транспорта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за период с 2019 по 2023 год </w:t>
            </w:r>
            <w:r w:rsidR="00A57FDE" w:rsidRPr="00650F5B">
              <w:rPr>
                <w:rFonts w:ascii="Times New Roman" w:hAnsi="Times New Roman" w:cs="Times New Roman"/>
                <w:sz w:val="26"/>
                <w:szCs w:val="26"/>
              </w:rPr>
              <w:t>не менее 5000 человек.</w:t>
            </w:r>
          </w:p>
          <w:p w:rsidR="007D4D92" w:rsidRPr="00650F5B" w:rsidRDefault="00DC0129" w:rsidP="003876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C225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перевезенных пассажиров за счет программных мероприятий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>за период с 2019 по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</w:t>
            </w:r>
            <w:r w:rsidR="00A57FDE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22 </w:t>
            </w:r>
            <w:r w:rsidR="00387653" w:rsidRPr="00650F5B">
              <w:rPr>
                <w:rFonts w:ascii="Times New Roman" w:hAnsi="Times New Roman" w:cs="Times New Roman"/>
                <w:sz w:val="26"/>
                <w:szCs w:val="26"/>
              </w:rPr>
              <w:t>770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человек.</w:t>
            </w:r>
          </w:p>
        </w:tc>
      </w:tr>
    </w:tbl>
    <w:p w:rsidR="007D4D92" w:rsidRPr="00650F5B" w:rsidRDefault="007D4D92" w:rsidP="007D4D9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1 </w:t>
      </w: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D4D92" w:rsidRPr="00650F5B" w:rsidRDefault="007D4D92" w:rsidP="007D4D9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Воздушный транспорт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C804DF" w:rsidP="00C804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МО «Ленский район».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C804DF" w:rsidP="00C804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МО «Ленский район»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транспортной инфраструктуры Ленского района, направленной на повышение привлекательности территории для жизни и работы людей, повышение общественной и инвестиционной активности. Социальная направленность.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Развитие маршрутной сети и инфраструктуры пассажирского воздушного транспорта.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8F" w:rsidRPr="00650F5B" w:rsidRDefault="005623AD" w:rsidP="00A57FD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перевезенных пассажиров за счет программных мероприятий</w:t>
            </w:r>
            <w:r w:rsidR="00190E8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в год: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          – 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2020 г – 120 чел.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 – 140 чел.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 – 150 чел.</w:t>
            </w:r>
          </w:p>
          <w:p w:rsidR="00190E8F" w:rsidRPr="00650F5B" w:rsidRDefault="00190E8F" w:rsidP="00190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 – 160 чел.</w:t>
            </w:r>
          </w:p>
          <w:p w:rsidR="00190E8F" w:rsidRPr="00650F5B" w:rsidRDefault="00190E8F" w:rsidP="00190E8F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2019-2023гг.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финансового обеспечения в целом на реализацию программы – 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 043 060.00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6 043 060,00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000 000,00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000 000,00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 000 000,00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 000 000,00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а) за счет средств федерального бюджета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б) за счет средств государственного бюджета РС(Я) –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821" w:rsidRPr="00650F5B" w:rsidRDefault="007D4D92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в) за счет средств бюджета МО «Ленский район»  -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16 043 060.00 рублей, в том числе: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6 043 060,00 руб.  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000 000,00 руб.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 2 000 000,00 руб.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000 000,00 руб.</w:t>
            </w:r>
          </w:p>
          <w:p w:rsidR="007D4D92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000 000,00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г) за счет средств бюджетов  поселений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д) за счет внебюджетных средств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</w:tc>
      </w:tr>
      <w:tr w:rsidR="007D4D92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A57FDE" w:rsidP="00A57FD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перевезенных пассажиров</w:t>
            </w:r>
            <w:r w:rsidR="00DB020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за счет программных мероприятий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за период с 2019 по 2023 год </w:t>
            </w:r>
            <w:r w:rsidR="008B3619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DB0202" w:rsidRPr="00650F5B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B020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№2 </w:t>
      </w: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D4D92" w:rsidRPr="00650F5B" w:rsidRDefault="007D4D92" w:rsidP="007D4D9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Водный транспорт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5623AD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5623AD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производственного развития  администрации муниципального образования «Ленский район».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транспортной инфраструктуры Ленского района, направленной на повышение привлекательности территории для жизни и работы людей, повышение общественной и инвестиционной активности. Социальная направленность.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Развитие маршрутной сети и инфраструктуры пассажирского водного транспорта.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48A" w:rsidRPr="00650F5B" w:rsidRDefault="0076448A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 Количество перевезенных пассажиров всеми видами транспорта в год:</w:t>
            </w:r>
          </w:p>
          <w:p w:rsidR="0076448A" w:rsidRPr="00650F5B" w:rsidRDefault="0076448A" w:rsidP="007644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 г. – 5 000 человек</w:t>
            </w:r>
          </w:p>
          <w:p w:rsidR="0076448A" w:rsidRPr="00650F5B" w:rsidRDefault="0076448A" w:rsidP="007644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2020 г. –0 человек</w:t>
            </w:r>
          </w:p>
          <w:p w:rsidR="0076448A" w:rsidRPr="00650F5B" w:rsidRDefault="0076448A" w:rsidP="007644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–0 человек</w:t>
            </w:r>
          </w:p>
          <w:p w:rsidR="0076448A" w:rsidRPr="00650F5B" w:rsidRDefault="0076448A" w:rsidP="0076448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–0 человек </w:t>
            </w:r>
          </w:p>
          <w:p w:rsidR="0076448A" w:rsidRPr="00650F5B" w:rsidRDefault="0076448A" w:rsidP="0076448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–0 человек</w:t>
            </w:r>
          </w:p>
          <w:p w:rsidR="007D4D92" w:rsidRPr="00650F5B" w:rsidRDefault="0076448A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перевезенных пассажиров за счет программных мероприятий 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>в год: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4 200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5 500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6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00 человек </w:t>
            </w:r>
          </w:p>
          <w:p w:rsidR="007D4D92" w:rsidRPr="00650F5B" w:rsidRDefault="007D4D92" w:rsidP="007708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6 500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2019-2023гг.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в целом на реализацию программы – 7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889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>571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,00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25 500 000 ,00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137E1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9 939 571,00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2021 г. – 13 150 000,00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13 150 000,00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13 150 000,00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а) за счет средств федерального бюджета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б) за счет средств государственного бюджета РС(Я)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0821" w:rsidRPr="00650F5B" w:rsidRDefault="007D4D92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в) за счет средств бюджета МО «Ленский район»  - 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74 889 571,00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рублей, в том числе:</w:t>
            </w:r>
            <w:r w:rsidR="0052475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25 500 000 ,00 руб.  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137E1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9 939 571,00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137E1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13 150 000,00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770821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г. – 13 150 000,00 руб. </w:t>
            </w:r>
          </w:p>
          <w:p w:rsidR="007D4D92" w:rsidRPr="00650F5B" w:rsidRDefault="00770821" w:rsidP="007708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13 150 000,00 руб. 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г) за счет средств бюджетов  поселений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д) за счет внебюджетных средств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</w:tc>
      </w:tr>
      <w:tr w:rsidR="007D4D92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48A" w:rsidRPr="00650F5B" w:rsidRDefault="0076448A" w:rsidP="00DC01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 Количество перевезенных пассажиров всеми видами транспорта за период с 2019 по 2023 год не менее 5</w:t>
            </w:r>
            <w:r w:rsidR="000F752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000;</w:t>
            </w:r>
          </w:p>
          <w:p w:rsidR="007D4D92" w:rsidRPr="00650F5B" w:rsidRDefault="0076448A" w:rsidP="00DC01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перевезенных пассажиров за счет программных мероприятий</w:t>
            </w:r>
            <w:r w:rsidR="008B3619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>за период с 2019 по 2023 год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не менее</w:t>
            </w:r>
            <w:r w:rsidR="0076258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0807" w:rsidRPr="00650F5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0F752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человек.</w:t>
            </w:r>
          </w:p>
        </w:tc>
      </w:tr>
    </w:tbl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129" w:rsidRPr="00650F5B" w:rsidRDefault="00DC0129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 3 </w:t>
      </w:r>
    </w:p>
    <w:p w:rsidR="007D4D92" w:rsidRPr="00650F5B" w:rsidRDefault="007D4D92" w:rsidP="007D4D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D4D92" w:rsidRPr="00650F5B" w:rsidRDefault="007D4D92" w:rsidP="007D4D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Дорожное хозяйство.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муниципального образования «Ленский район».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5B4F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МО «Ленский район»,</w:t>
            </w:r>
            <w:r w:rsidR="005B4F28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МО «Город Ленск»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5B4F28" w:rsidP="005B4F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Управление производственного развития  администрации МО «Ленский район», а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МО «Город Ленск.  </w:t>
            </w:r>
          </w:p>
        </w:tc>
      </w:tr>
      <w:tr w:rsidR="00650F5B" w:rsidRPr="00650F5B" w:rsidTr="002C225D">
        <w:trPr>
          <w:trHeight w:val="903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tabs>
                <w:tab w:val="left" w:pos="0"/>
                <w:tab w:val="left" w:pos="430"/>
              </w:tabs>
              <w:ind w:left="1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Формирование сбалансированной транспортной системы Ленского района, направленной на повышение доступности территории для жизни и работы людей.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Создание благоприятных транспортных условий, повышение комплексной безопасности и устойчивости транспортной системы.</w:t>
            </w:r>
          </w:p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7E" w:rsidRPr="00650F5B" w:rsidRDefault="00DC187E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>Протяженность отремонтированных автомобильных дорог общего пользования местного значения в год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C187E" w:rsidRPr="00650F5B" w:rsidRDefault="00DC187E" w:rsidP="00DC187E">
            <w:pPr>
              <w:pStyle w:val="ConsPlusNormal"/>
              <w:ind w:left="157" w:hanging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2019г.– 7000 м2</w:t>
            </w:r>
          </w:p>
          <w:p w:rsidR="00DC187E" w:rsidRPr="00650F5B" w:rsidRDefault="00DC187E" w:rsidP="00DC1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2020г.        – </w:t>
            </w:r>
          </w:p>
          <w:p w:rsidR="00DC187E" w:rsidRPr="00650F5B" w:rsidRDefault="00DC187E" w:rsidP="00DC1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2021г.        – </w:t>
            </w:r>
          </w:p>
          <w:p w:rsidR="00DC187E" w:rsidRPr="00650F5B" w:rsidRDefault="00DC187E" w:rsidP="00DC1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2022г.        – </w:t>
            </w:r>
          </w:p>
          <w:p w:rsidR="00DC187E" w:rsidRPr="00650F5B" w:rsidRDefault="00DC187E" w:rsidP="00DC1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2023г.        – </w:t>
            </w:r>
          </w:p>
          <w:p w:rsidR="00DC187E" w:rsidRPr="00650F5B" w:rsidRDefault="00DC187E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AF16EC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Площадь отремонтированных</w:t>
            </w:r>
            <w:r w:rsidR="007D4D92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 в год:  </w:t>
            </w:r>
          </w:p>
          <w:p w:rsidR="007D4D92" w:rsidRPr="00650F5B" w:rsidRDefault="007D4D92" w:rsidP="002C225D">
            <w:pPr>
              <w:pStyle w:val="ConsPlusNormal"/>
              <w:ind w:left="157" w:hanging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2020г.–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94 000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2021г.–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150 000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21 000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2023г. – </w:t>
            </w:r>
            <w:r w:rsidR="00770821" w:rsidRPr="00650F5B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новых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дорожных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знаков, барьерных ограждений</w:t>
            </w:r>
            <w:r w:rsidR="00F4730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D4D92" w:rsidRPr="00650F5B" w:rsidRDefault="00661571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– 20 </w:t>
            </w:r>
            <w:r w:rsidR="00C804DF" w:rsidRPr="00650F5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7D4D92" w:rsidRPr="00650F5B" w:rsidRDefault="00661571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– 78 </w:t>
            </w:r>
            <w:r w:rsidR="00C804DF" w:rsidRPr="00650F5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7D4D92" w:rsidRPr="00650F5B" w:rsidRDefault="00661571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– 0 </w:t>
            </w:r>
            <w:r w:rsidR="00C804DF" w:rsidRPr="00650F5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7D4D92" w:rsidRPr="00650F5B" w:rsidRDefault="00661571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2022 – 15 </w:t>
            </w:r>
            <w:r w:rsidR="00C804DF" w:rsidRPr="00650F5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7D4D92" w:rsidRPr="00650F5B" w:rsidRDefault="00661571" w:rsidP="009C668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– 20 </w:t>
            </w:r>
            <w:r w:rsidR="00C804DF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шт. 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2019-2023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финансового обеспечения в целом на реализацию программы – 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878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.13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340 040 999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,00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99 782 248,96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162 844 427.17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15 605 43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,50 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15 605 43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,50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а) за счет средств федерального бюджета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б) за счет средств государственного бюджета РС (Я) - 0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в) за счет средств бюджета МО «Ленский район»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580 960 31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.61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287 122 768.48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 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99 782 248.96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162 844 427.17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15 605 43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,50 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15 605 43</w:t>
            </w:r>
            <w:r w:rsidR="00074E9C" w:rsidRPr="00650F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,50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г) за счет средств бюджетов  поселений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>52 918 230.52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</w:t>
            </w:r>
            <w:r w:rsidR="009C6681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52 918 230.52 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2023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д) за счет внебюджетных средств – 0 рублей, в том числе по годам: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2019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2020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2021 г. – 0 руб. 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2022 г. – 0 руб.</w:t>
            </w:r>
          </w:p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2023 г. – 0 руб.</w:t>
            </w:r>
          </w:p>
        </w:tc>
      </w:tr>
      <w:tr w:rsidR="00650F5B" w:rsidRPr="00650F5B" w:rsidTr="002C225D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29" w:rsidRPr="00650F5B" w:rsidRDefault="00DC0129" w:rsidP="009C66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6448A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 отремонтированных автомобильных дорог общего пользования местного значения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за период с 2019 по 2023 год, не менее 7 000 м2.</w:t>
            </w:r>
          </w:p>
          <w:p w:rsidR="009C6681" w:rsidRPr="00650F5B" w:rsidRDefault="009C6681" w:rsidP="009C66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B0202" w:rsidRPr="00650F5B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отремонтированных </w:t>
            </w:r>
            <w:r w:rsidR="00467CAC" w:rsidRPr="00650F5B">
              <w:rPr>
                <w:rFonts w:ascii="Times New Roman" w:hAnsi="Times New Roman" w:cs="Times New Roman"/>
                <w:sz w:val="26"/>
                <w:szCs w:val="26"/>
              </w:rPr>
              <w:t>автомобильных дорог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>за период с 2019 по 2023 год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, не менее 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  <w:r w:rsidR="000061F6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м2.</w:t>
            </w:r>
          </w:p>
          <w:p w:rsidR="007D4D92" w:rsidRPr="00650F5B" w:rsidRDefault="009C6681" w:rsidP="005623A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установленных новых дорожных знаков и барьерных ограждений </w:t>
            </w:r>
            <w:r w:rsidR="00DC0129"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за период с 2019 по 2023 год, 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="005623AD" w:rsidRPr="00650F5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650F5B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</w:tc>
      </w:tr>
    </w:tbl>
    <w:p w:rsidR="007D4D92" w:rsidRPr="00650F5B" w:rsidRDefault="007D4D92" w:rsidP="007D4D9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650F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7D4D92" w:rsidRPr="00650F5B" w:rsidRDefault="007D4D92" w:rsidP="007D4D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50F5B">
        <w:rPr>
          <w:b/>
          <w:sz w:val="28"/>
          <w:szCs w:val="28"/>
        </w:rPr>
        <w:t>Раздел 1. Характеристика текущего состояния</w:t>
      </w:r>
    </w:p>
    <w:p w:rsidR="007D4D92" w:rsidRPr="00650F5B" w:rsidRDefault="007D4D92" w:rsidP="007D4D92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Развитие транспортной инфраструктуры является необходимым условием реализации экономического роста Ленского района  и улучшения качества жизни населения.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От уровня транспортно-эксплуатационного состояния и развития сети автомобильных дорог, во многом зависит решение задач достижения устойчивого экономического роста, улучшения условий предпринимательской деятельности и повышения качества жизни населения.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Транспортный комплекс Ленского района характеризуется низким уровнем развития сети путей сообщения с круглогодичной эксплуатацией. Густота автомобильных дорог общего пользования с твердым покрытием на 1 тыс. кв. км – 3,8 км против 2,6 и </w:t>
      </w:r>
      <w:smartTag w:uri="urn:schemas-microsoft-com:office:smarttags" w:element="metricconverter">
        <w:smartTagPr>
          <w:attr w:name="ProductID" w:val="5,4 км"/>
        </w:smartTagPr>
        <w:r w:rsidRPr="00650F5B">
          <w:rPr>
            <w:sz w:val="28"/>
            <w:szCs w:val="28"/>
          </w:rPr>
          <w:t>5,4 км</w:t>
        </w:r>
      </w:smartTag>
      <w:r w:rsidRPr="00650F5B">
        <w:rPr>
          <w:sz w:val="28"/>
          <w:szCs w:val="28"/>
        </w:rPr>
        <w:t xml:space="preserve"> по Республике Саха (Якутия) и Дальневосточному федеральному округу соответственно.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58 % автомобильных дорог общего пользования муниципального значения составляют сезонные дороги (автозимники) и дороги с низкой пропускной способностью и грузоподъемностью (грунтовые дороги V технической категории). До настоящего времени 10 населенных пунктов района из 19 не обеспечены круглогодичной связью с дорожной сетью общего пользования по автомобильным дорогам с твердым покрытием.</w:t>
      </w:r>
    </w:p>
    <w:p w:rsidR="007D4D92" w:rsidRPr="00650F5B" w:rsidRDefault="007D4D92" w:rsidP="007D4D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Более 10 лет в районе не уделялось должного внимания ремонту, капитальному ремонту и реконструкции дорожной сети общего пользования с твердым покрытием. Осуществлялось только обеспечение проезда и общее содержание автодорог и автозимников. 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Одной из существенных проблем дорожной отрасли Ленского района является значительный износ дорожной сети межмуниципального значения, приводящий к снижению качества передвижения автотранспортных средств. Проверка межселенных дорог находящихся в собственности МО «Ленский район» показала, что дислокация дорожных знаков нарушена на всех дорогах без исключения или не соответствует существующей дорожной обстановки и требует актуализации технических паспортов автомобильных дорог и разработки проекта организации дорожного движения. 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В целях улучшения технических свойств дорожного полотна, доведения его состояния до нормативных значений предполагается выделение средств на проведение асфальтобетонного покрытия улично-дорожной сети г. Ленска. Также в 2019 – 2023 годах основными приоритетами будет являться проектирование, реконструкция автодорог с экспертизой, ремонт и восстановление межселенных дорог.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Анализ динамики показателей реализации программы предыдущих лет: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989"/>
        <w:gridCol w:w="1952"/>
        <w:gridCol w:w="1536"/>
        <w:gridCol w:w="1141"/>
        <w:gridCol w:w="1466"/>
        <w:gridCol w:w="1276"/>
      </w:tblGrid>
      <w:tr w:rsidR="00650F5B" w:rsidRPr="00650F5B" w:rsidTr="00D14946">
        <w:tc>
          <w:tcPr>
            <w:tcW w:w="1130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№п/п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Подпрограмма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D4D92" w:rsidRPr="00650F5B" w:rsidRDefault="007D4D92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201</w:t>
            </w:r>
            <w:r w:rsidR="009D2E10" w:rsidRPr="00650F5B">
              <w:rPr>
                <w:sz w:val="28"/>
                <w:szCs w:val="28"/>
              </w:rPr>
              <w:t>7</w:t>
            </w:r>
            <w:r w:rsidRPr="00650F5B">
              <w:rPr>
                <w:sz w:val="28"/>
                <w:szCs w:val="28"/>
              </w:rPr>
              <w:t>г.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D4D92" w:rsidRPr="00650F5B" w:rsidRDefault="007D4D92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201</w:t>
            </w:r>
            <w:r w:rsidR="009D2E10" w:rsidRPr="00650F5B">
              <w:rPr>
                <w:sz w:val="28"/>
                <w:szCs w:val="28"/>
              </w:rPr>
              <w:t>8</w:t>
            </w:r>
            <w:r w:rsidRPr="00650F5B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D92" w:rsidRPr="00650F5B" w:rsidRDefault="007D4D92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201</w:t>
            </w:r>
            <w:r w:rsidR="009D2E10" w:rsidRPr="00650F5B">
              <w:rPr>
                <w:sz w:val="28"/>
                <w:szCs w:val="28"/>
              </w:rPr>
              <w:t>9</w:t>
            </w:r>
            <w:r w:rsidRPr="00650F5B">
              <w:rPr>
                <w:sz w:val="28"/>
                <w:szCs w:val="28"/>
              </w:rPr>
              <w:t>г.</w:t>
            </w:r>
          </w:p>
        </w:tc>
      </w:tr>
      <w:tr w:rsidR="00650F5B" w:rsidRPr="00650F5B" w:rsidTr="00D14946">
        <w:tc>
          <w:tcPr>
            <w:tcW w:w="1130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Воздушный транспорт</w:t>
            </w:r>
          </w:p>
          <w:p w:rsidR="007D4D92" w:rsidRPr="00650F5B" w:rsidRDefault="007D4D92" w:rsidP="002C2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7D4D92" w:rsidRPr="00650F5B" w:rsidRDefault="009C6681" w:rsidP="002C225D">
            <w:pPr>
              <w:jc w:val="center"/>
            </w:pPr>
            <w:r w:rsidRPr="00650F5B">
              <w:t>Количество перевезенных пассажиров (в соответствии с заключенными муниципальными контрактами, соглашениями)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D4D92" w:rsidRPr="00650F5B" w:rsidRDefault="009C6681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человек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D4D92" w:rsidRPr="00650F5B" w:rsidRDefault="00AB148A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1</w:t>
            </w:r>
            <w:r w:rsidR="009D2E10" w:rsidRPr="00650F5B">
              <w:rPr>
                <w:sz w:val="28"/>
                <w:szCs w:val="28"/>
              </w:rPr>
              <w:t>35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D4D92" w:rsidRPr="00650F5B" w:rsidRDefault="00AB148A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1</w:t>
            </w:r>
            <w:r w:rsidR="009D2E10" w:rsidRPr="00650F5B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D92" w:rsidRPr="00650F5B" w:rsidRDefault="000F752F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-</w:t>
            </w:r>
          </w:p>
        </w:tc>
      </w:tr>
      <w:tr w:rsidR="00650F5B" w:rsidRPr="00650F5B" w:rsidTr="00D14946">
        <w:tc>
          <w:tcPr>
            <w:tcW w:w="1130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Водный транспорт</w:t>
            </w:r>
          </w:p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</w:pPr>
            <w:r w:rsidRPr="00650F5B">
              <w:t>Количество перевезенных пассажиров (в соответствии с заключенными муниципальными контрактами</w:t>
            </w:r>
            <w:r w:rsidR="009C6681" w:rsidRPr="00650F5B">
              <w:t>, соглашениями</w:t>
            </w:r>
            <w:r w:rsidRPr="00650F5B">
              <w:t>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человек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D4D92" w:rsidRPr="00650F5B" w:rsidRDefault="007D4D92" w:rsidP="009D2E10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3</w:t>
            </w:r>
            <w:r w:rsidR="009D2E10" w:rsidRPr="00650F5B">
              <w:rPr>
                <w:sz w:val="28"/>
                <w:szCs w:val="28"/>
              </w:rPr>
              <w:t>87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D4D92" w:rsidRPr="00650F5B" w:rsidRDefault="009D2E10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6469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D92" w:rsidRPr="00650F5B" w:rsidRDefault="000F752F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5 000</w:t>
            </w:r>
          </w:p>
        </w:tc>
      </w:tr>
      <w:tr w:rsidR="00650F5B" w:rsidRPr="00650F5B" w:rsidTr="00D14946">
        <w:tc>
          <w:tcPr>
            <w:tcW w:w="1130" w:type="dxa"/>
            <w:vMerge w:val="restart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3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t>Площадь отремонтированных автомобильных дорог общего пользования местного значения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м2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D4D92" w:rsidRPr="00650F5B" w:rsidRDefault="009D2E10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21</w:t>
            </w:r>
            <w:r w:rsidR="00D14946" w:rsidRPr="00650F5B">
              <w:rPr>
                <w:sz w:val="28"/>
                <w:szCs w:val="28"/>
              </w:rPr>
              <w:t xml:space="preserve"> </w:t>
            </w:r>
            <w:r w:rsidRPr="00650F5B">
              <w:rPr>
                <w:sz w:val="28"/>
                <w:szCs w:val="28"/>
              </w:rPr>
              <w:t>700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D4D92" w:rsidRPr="00650F5B" w:rsidRDefault="009D2E10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52</w:t>
            </w:r>
            <w:r w:rsidR="00D14946" w:rsidRPr="00650F5B">
              <w:rPr>
                <w:sz w:val="28"/>
                <w:szCs w:val="28"/>
              </w:rPr>
              <w:t xml:space="preserve"> </w:t>
            </w:r>
            <w:r w:rsidRPr="00650F5B">
              <w:rPr>
                <w:sz w:val="28"/>
                <w:szCs w:val="28"/>
              </w:rPr>
              <w:t>356.72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D92" w:rsidRPr="00650F5B" w:rsidRDefault="00D14946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7 000</w:t>
            </w:r>
          </w:p>
        </w:tc>
      </w:tr>
      <w:tr w:rsidR="00650F5B" w:rsidRPr="00650F5B" w:rsidTr="00D14946">
        <w:tc>
          <w:tcPr>
            <w:tcW w:w="1130" w:type="dxa"/>
            <w:vMerge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t>Количество установленных дорожных знаков, барьерных ограждений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D4D92" w:rsidRPr="00650F5B" w:rsidRDefault="007D4D92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шт.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D4D92" w:rsidRPr="00650F5B" w:rsidRDefault="009D2E10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15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D4D92" w:rsidRPr="00650F5B" w:rsidRDefault="009D2E10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D92" w:rsidRPr="00650F5B" w:rsidRDefault="0076448A" w:rsidP="002C225D">
            <w:pPr>
              <w:jc w:val="center"/>
              <w:rPr>
                <w:sz w:val="28"/>
                <w:szCs w:val="28"/>
              </w:rPr>
            </w:pPr>
            <w:r w:rsidRPr="00650F5B">
              <w:rPr>
                <w:sz w:val="28"/>
                <w:szCs w:val="28"/>
              </w:rPr>
              <w:t>20</w:t>
            </w:r>
          </w:p>
        </w:tc>
      </w:tr>
    </w:tbl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В дорожном хозяйстве Ленского района имеются следующие проблемы: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1. Низкий удельный вес автомобильных дорог с твердым покрытием. В этой связи 10 населенных пунктов из 19, не обеспечены круглогодичной транспортной доступностью с дорогами общего пользования, имеющими твердое покрытие.  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2. Несоответствие дорог нормативным требованиям. Основной причиной несоответствия ГОСТам автодорог является то, что существующие межселенные автомобильные дороги с момента их строительства и до настоящего времени ни разу не проходили экспертной оценки их состояния и соответственно не подвергались капитальным ремонтам.  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Оценка влияния критического состояния дорожной сети на социально-экономическую ситуацию в районе показывает:</w:t>
      </w:r>
    </w:p>
    <w:p w:rsidR="007D4D92" w:rsidRPr="00650F5B" w:rsidRDefault="007D4D92" w:rsidP="007D4D92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бездорожье является одной из главных причин слабого развития социальной инфраструктуры в сельской местности, снижения продуктивности сельскохозяйственного производства;</w:t>
      </w:r>
    </w:p>
    <w:p w:rsidR="007D4D92" w:rsidRPr="00650F5B" w:rsidRDefault="007D4D92" w:rsidP="00FD41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ежегодно на улично-дорожной сети Ленского района совершается более 250 дорожно-транспортных происшествий, при которых погибают и получают телесные повреждения различной степени тяжести десятки людей.  За 201</w:t>
      </w:r>
      <w:r w:rsidR="00AB148A" w:rsidRPr="00650F5B">
        <w:rPr>
          <w:sz w:val="28"/>
          <w:szCs w:val="28"/>
        </w:rPr>
        <w:t>9</w:t>
      </w:r>
      <w:r w:rsidRPr="00650F5B">
        <w:rPr>
          <w:sz w:val="28"/>
          <w:szCs w:val="28"/>
        </w:rPr>
        <w:t xml:space="preserve"> г.  в  Ленском районе произошло 246 ДТП, в которых погибло 4 чел.,  48 получили телесные повреждения. </w:t>
      </w:r>
    </w:p>
    <w:p w:rsidR="007D4D92" w:rsidRPr="00650F5B" w:rsidRDefault="007D4D92" w:rsidP="007D4D9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Серьезные проблемы в транспортном обслуживании предприятий и населения существуют в поселках Витим, Пеледуй,  где пассажирские перевозки в период распутицы осуществляются воздушным транспортом, летний период водным, зимний период по автозимнику УМНАС. </w:t>
      </w:r>
    </w:p>
    <w:p w:rsidR="005B7ABB" w:rsidRPr="00650F5B" w:rsidRDefault="005B7ABB" w:rsidP="007D4D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  Субсидирование водного транспорта, осуществляющего межселенные пассажирские перевозки, имеет важное социальное значение так как, в</w:t>
      </w:r>
      <w:r w:rsidR="007D4D92" w:rsidRPr="00650F5B">
        <w:rPr>
          <w:sz w:val="28"/>
          <w:szCs w:val="28"/>
        </w:rPr>
        <w:t xml:space="preserve"> населенных пунктах района, не считая г. Ленска, проживает 14 871 человек, из них 11 094 населения проживает в зоне, недоступной для круглогодичного транспортного сообщения. Население </w:t>
      </w:r>
      <w:r w:rsidRPr="00650F5B">
        <w:rPr>
          <w:sz w:val="28"/>
          <w:szCs w:val="28"/>
        </w:rPr>
        <w:t xml:space="preserve">таких </w:t>
      </w:r>
      <w:r w:rsidR="007D4D92" w:rsidRPr="00650F5B">
        <w:rPr>
          <w:sz w:val="28"/>
          <w:szCs w:val="28"/>
        </w:rPr>
        <w:t>поселков</w:t>
      </w:r>
      <w:r w:rsidRPr="00650F5B">
        <w:rPr>
          <w:sz w:val="28"/>
          <w:szCs w:val="28"/>
        </w:rPr>
        <w:t xml:space="preserve"> как</w:t>
      </w:r>
      <w:r w:rsidR="007D4D92" w:rsidRPr="00650F5B">
        <w:rPr>
          <w:sz w:val="28"/>
          <w:szCs w:val="28"/>
        </w:rPr>
        <w:t xml:space="preserve"> Ярославский, Хамра, Натора, Турукта, в период навигации, имеют возможность добраться до районного центра,</w:t>
      </w:r>
      <w:r w:rsidRPr="00650F5B">
        <w:rPr>
          <w:sz w:val="28"/>
          <w:szCs w:val="28"/>
        </w:rPr>
        <w:t xml:space="preserve"> только водным видом транспорта.</w:t>
      </w:r>
    </w:p>
    <w:p w:rsidR="005B7ABB" w:rsidRPr="00650F5B" w:rsidRDefault="005B7ABB" w:rsidP="007D4D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Субсидирование авиатранспорта также имеет не маловажную роль в осуществлении транспортной доступности для</w:t>
      </w:r>
      <w:r w:rsidR="009D2E10" w:rsidRPr="00650F5B">
        <w:rPr>
          <w:sz w:val="28"/>
          <w:szCs w:val="28"/>
        </w:rPr>
        <w:t xml:space="preserve"> жителей</w:t>
      </w:r>
      <w:r w:rsidRPr="00650F5B">
        <w:rPr>
          <w:sz w:val="28"/>
          <w:szCs w:val="28"/>
        </w:rPr>
        <w:t xml:space="preserve"> отдаленных населенных </w:t>
      </w:r>
      <w:r w:rsidR="0017763B" w:rsidRPr="00650F5B">
        <w:rPr>
          <w:sz w:val="28"/>
          <w:szCs w:val="28"/>
        </w:rPr>
        <w:t xml:space="preserve">пунктов, таких как п. Витим, п. Пеледуй, не имеющих транспортного сообщения в </w:t>
      </w:r>
      <w:r w:rsidR="00AD2647" w:rsidRPr="00650F5B">
        <w:rPr>
          <w:sz w:val="28"/>
          <w:szCs w:val="28"/>
        </w:rPr>
        <w:t>период распутицы</w:t>
      </w:r>
      <w:r w:rsidR="0017763B" w:rsidRPr="00650F5B">
        <w:rPr>
          <w:sz w:val="28"/>
          <w:szCs w:val="28"/>
        </w:rPr>
        <w:t xml:space="preserve"> (весенне-летний, осенне-зимний)</w:t>
      </w:r>
      <w:r w:rsidRPr="00650F5B">
        <w:rPr>
          <w:sz w:val="28"/>
          <w:szCs w:val="28"/>
        </w:rPr>
        <w:t xml:space="preserve">. </w:t>
      </w:r>
      <w:r w:rsidR="00AD2647" w:rsidRPr="00650F5B">
        <w:rPr>
          <w:sz w:val="28"/>
          <w:szCs w:val="28"/>
        </w:rPr>
        <w:t xml:space="preserve"> </w:t>
      </w:r>
    </w:p>
    <w:p w:rsidR="007D4D92" w:rsidRPr="00650F5B" w:rsidRDefault="007D4D92" w:rsidP="007D4D92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D4D92" w:rsidRPr="00650F5B" w:rsidRDefault="007D4D92" w:rsidP="007D4D92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650F5B">
        <w:rPr>
          <w:sz w:val="28"/>
          <w:szCs w:val="28"/>
        </w:rPr>
        <w:t>SWOT-анализ текущего состояния транспортной инфраструктуры</w:t>
      </w:r>
    </w:p>
    <w:p w:rsidR="007D4D92" w:rsidRPr="00650F5B" w:rsidRDefault="007D4D92" w:rsidP="007D4D92">
      <w:pPr>
        <w:autoSpaceDE w:val="0"/>
        <w:autoSpaceDN w:val="0"/>
        <w:adjustRightInd w:val="0"/>
        <w:spacing w:line="360" w:lineRule="auto"/>
        <w:ind w:firstLine="720"/>
        <w:jc w:val="right"/>
        <w:rPr>
          <w:b/>
          <w:sz w:val="24"/>
          <w:szCs w:val="24"/>
        </w:rPr>
      </w:pPr>
      <w:r w:rsidRPr="00650F5B">
        <w:rPr>
          <w:b/>
          <w:sz w:val="24"/>
          <w:szCs w:val="24"/>
        </w:rPr>
        <w:t>Таблица №1</w:t>
      </w:r>
    </w:p>
    <w:tbl>
      <w:tblPr>
        <w:tblW w:w="93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8"/>
        <w:gridCol w:w="4538"/>
      </w:tblGrid>
      <w:tr w:rsidR="00650F5B" w:rsidRPr="00650F5B" w:rsidTr="002C225D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Сильные стороны (S)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Слабые стороны (W)</w:t>
            </w:r>
          </w:p>
        </w:tc>
      </w:tr>
      <w:tr w:rsidR="00650F5B" w:rsidRPr="00650F5B" w:rsidTr="002C225D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Выгодное географическое положение, позволяющее получать значительные доходы от осуществления транзитных перевозок;</w:t>
            </w:r>
          </w:p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Значительный удельный вес транспортного комплекса в основных производственных фондах района.</w:t>
            </w:r>
          </w:p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Отсутствие сети путей сообщения с круглогодичной эксплуатацией; Низкая доля протяженности дорог общего пользования с твердым покрытием.</w:t>
            </w:r>
          </w:p>
        </w:tc>
      </w:tr>
      <w:tr w:rsidR="00650F5B" w:rsidRPr="00650F5B" w:rsidTr="002C225D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Возможности (O)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Угрозы (T)</w:t>
            </w:r>
          </w:p>
        </w:tc>
      </w:tr>
      <w:tr w:rsidR="00650F5B" w:rsidRPr="00650F5B" w:rsidTr="002C225D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Реализация крупных инвестиционных проектов в топливно-энергетическом комплексе и промышленности;</w:t>
            </w:r>
          </w:p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 xml:space="preserve">Формирование специализированного республиканского дорожного фонда.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Отсутствие финансирования в рамках республиканской программы.</w:t>
            </w:r>
          </w:p>
          <w:p w:rsidR="007D4D92" w:rsidRPr="00650F5B" w:rsidRDefault="007D4D92" w:rsidP="002C225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0F5B">
              <w:rPr>
                <w:sz w:val="24"/>
                <w:szCs w:val="24"/>
              </w:rPr>
              <w:t>Недостаточное поступление средств из республиканского дорожного фонда.</w:t>
            </w:r>
          </w:p>
        </w:tc>
      </w:tr>
    </w:tbl>
    <w:p w:rsidR="007D4D92" w:rsidRPr="00650F5B" w:rsidRDefault="007D4D92" w:rsidP="007D4D92">
      <w:pPr>
        <w:widowControl w:val="0"/>
        <w:autoSpaceDE w:val="0"/>
        <w:autoSpaceDN w:val="0"/>
        <w:adjustRightInd w:val="0"/>
        <w:spacing w:line="360" w:lineRule="auto"/>
        <w:outlineLvl w:val="0"/>
        <w:rPr>
          <w:b/>
          <w:bCs/>
          <w:sz w:val="28"/>
          <w:szCs w:val="28"/>
        </w:rPr>
      </w:pPr>
    </w:p>
    <w:p w:rsidR="007D4D92" w:rsidRPr="00650F5B" w:rsidRDefault="007D4D92" w:rsidP="007D4D9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650F5B">
        <w:rPr>
          <w:b/>
          <w:bCs/>
          <w:sz w:val="28"/>
          <w:szCs w:val="28"/>
        </w:rPr>
        <w:t>Раздел 2. Цель и задачи Программы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Основной целью Программы является Формирование сбалансированной транспортной системы Ленского района, направленной на повышение привлекательности территории для жизни и работы людей, расширение производства, сферы обслуживания, повышение конкурентоспособности, общественной и инвестиционной активности.</w:t>
      </w:r>
    </w:p>
    <w:p w:rsidR="007D4D92" w:rsidRPr="00650F5B" w:rsidRDefault="007D4D92" w:rsidP="007D4D92">
      <w:pPr>
        <w:spacing w:line="360" w:lineRule="auto"/>
        <w:ind w:firstLine="720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В рамках муниципальной программы определены следующие задачи:</w:t>
      </w:r>
    </w:p>
    <w:p w:rsidR="007D4D92" w:rsidRPr="00650F5B" w:rsidRDefault="007D4D92" w:rsidP="007D4D92">
      <w:pPr>
        <w:spacing w:line="360" w:lineRule="auto"/>
        <w:ind w:firstLine="709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-</w:t>
      </w:r>
      <w:r w:rsidRPr="00650F5B">
        <w:rPr>
          <w:sz w:val="28"/>
          <w:szCs w:val="28"/>
        </w:rPr>
        <w:tab/>
        <w:t>Создание благоприятных транспортных условий, повышение комплексной безопасности и устойчивости транспортной системы.</w:t>
      </w:r>
    </w:p>
    <w:p w:rsidR="007D4D92" w:rsidRPr="00650F5B" w:rsidRDefault="007D4D92" w:rsidP="007D4D92">
      <w:pPr>
        <w:spacing w:line="360" w:lineRule="auto"/>
        <w:ind w:firstLine="709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-</w:t>
      </w:r>
      <w:r w:rsidRPr="00650F5B">
        <w:rPr>
          <w:sz w:val="28"/>
          <w:szCs w:val="28"/>
        </w:rPr>
        <w:tab/>
        <w:t xml:space="preserve">Развитие маршрутной сети и инфраструктуры пассажирского транспорта, включая приоритетное развитие автомобильного, субсидированного водного и воздушного транспорта. </w:t>
      </w:r>
    </w:p>
    <w:p w:rsidR="007D4D92" w:rsidRPr="00650F5B" w:rsidRDefault="007D4D92" w:rsidP="007D4D92">
      <w:pPr>
        <w:spacing w:line="360" w:lineRule="auto"/>
        <w:ind w:firstLine="709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Цель Программы будет достигаться посредством трех подпрограмм, направленных на содержание, ремонт,</w:t>
      </w:r>
      <w:r w:rsidR="00E419EF" w:rsidRPr="00650F5B">
        <w:rPr>
          <w:sz w:val="28"/>
          <w:szCs w:val="28"/>
        </w:rPr>
        <w:t xml:space="preserve"> капитальный ремонт,</w:t>
      </w:r>
      <w:r w:rsidRPr="00650F5B">
        <w:rPr>
          <w:sz w:val="28"/>
          <w:szCs w:val="28"/>
        </w:rPr>
        <w:t xml:space="preserve"> проектирование, строительство, реконструкцию автомобильных дорог общего пользования местного значения, устройство пешеходных дорожек (тротуаров), замена старых, установка новых дорожных знаков, барьерных ограждений, софинансирование расходов связанных с содержанием дебаркадера в поселке Ярославский, поселке Хамра, субсидирование социально-значимых пассажирских перевозок водным и авиатранспортом по маршруту Ленск-Витим-Ленск.</w:t>
      </w:r>
    </w:p>
    <w:p w:rsidR="007D4D92" w:rsidRPr="00650F5B" w:rsidRDefault="007D4D92" w:rsidP="007D4D92">
      <w:pPr>
        <w:spacing w:line="360" w:lineRule="auto"/>
        <w:ind w:firstLine="708"/>
        <w:jc w:val="both"/>
        <w:rPr>
          <w:sz w:val="28"/>
          <w:szCs w:val="28"/>
        </w:rPr>
      </w:pPr>
      <w:r w:rsidRPr="00650F5B">
        <w:rPr>
          <w:sz w:val="28"/>
          <w:szCs w:val="28"/>
        </w:rPr>
        <w:t xml:space="preserve">Сведения о показателях (индикаторах) муниципальной программы, подпрограмм и их значениях приведены в приложении № 1. </w:t>
      </w:r>
    </w:p>
    <w:p w:rsidR="007D4D92" w:rsidRPr="00650F5B" w:rsidRDefault="007D4D92" w:rsidP="007D4D92">
      <w:pPr>
        <w:spacing w:line="360" w:lineRule="auto"/>
        <w:ind w:firstLine="708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Ресурсное обеспечение реализации муниципальной программы приведено в приложении № 2.</w:t>
      </w:r>
    </w:p>
    <w:p w:rsidR="007D4D92" w:rsidRPr="00650F5B" w:rsidRDefault="007D4D92" w:rsidP="007D4D92">
      <w:pPr>
        <w:spacing w:line="360" w:lineRule="auto"/>
        <w:ind w:firstLine="708"/>
        <w:jc w:val="both"/>
        <w:rPr>
          <w:sz w:val="28"/>
          <w:szCs w:val="28"/>
        </w:rPr>
      </w:pPr>
      <w:r w:rsidRPr="00650F5B">
        <w:rPr>
          <w:sz w:val="28"/>
          <w:szCs w:val="28"/>
        </w:rPr>
        <w:t>Общая сумма финансирования программы ежегодно будет корректироваться при формировании бюджета МО «Ленский район» и других источников на соответствующие годы.</w:t>
      </w:r>
    </w:p>
    <w:p w:rsidR="007D4D92" w:rsidRPr="00650F5B" w:rsidRDefault="007D4D92" w:rsidP="007D4D92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7"/>
        <w:gridCol w:w="4609"/>
      </w:tblGrid>
      <w:tr w:rsidR="007D4D92" w:rsidRPr="00650F5B" w:rsidTr="002C225D">
        <w:tc>
          <w:tcPr>
            <w:tcW w:w="4997" w:type="dxa"/>
            <w:hideMark/>
          </w:tcPr>
          <w:p w:rsidR="007D4D92" w:rsidRPr="00650F5B" w:rsidRDefault="003A62F0" w:rsidP="002C225D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D4D92" w:rsidRPr="00650F5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управления производственного развития</w:t>
            </w:r>
          </w:p>
        </w:tc>
        <w:tc>
          <w:tcPr>
            <w:tcW w:w="4609" w:type="dxa"/>
            <w:hideMark/>
          </w:tcPr>
          <w:p w:rsidR="007D4D92" w:rsidRPr="00650F5B" w:rsidRDefault="003A62F0" w:rsidP="002C225D">
            <w:pPr>
              <w:pStyle w:val="ConsPlusNormal"/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F5B">
              <w:rPr>
                <w:rFonts w:ascii="Times New Roman" w:hAnsi="Times New Roman" w:cs="Times New Roman"/>
                <w:b/>
                <w:sz w:val="28"/>
                <w:szCs w:val="28"/>
              </w:rPr>
              <w:t>Л.П. Жевноватая</w:t>
            </w:r>
          </w:p>
        </w:tc>
      </w:tr>
    </w:tbl>
    <w:p w:rsidR="007D4D92" w:rsidRPr="00650F5B" w:rsidRDefault="007D4D92" w:rsidP="007D4D92"/>
    <w:p w:rsidR="007D4D92" w:rsidRPr="00650F5B" w:rsidRDefault="007D4D92" w:rsidP="007D4D92"/>
    <w:p w:rsidR="00B63986" w:rsidRPr="00650F5B" w:rsidRDefault="00B63986"/>
    <w:sectPr w:rsidR="00B63986" w:rsidRPr="00650F5B" w:rsidSect="009D2E10">
      <w:headerReference w:type="even" r:id="rId7"/>
      <w:headerReference w:type="default" r:id="rId8"/>
      <w:pgSz w:w="11906" w:h="16838"/>
      <w:pgMar w:top="993" w:right="709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1A" w:rsidRDefault="00B8281A">
      <w:r>
        <w:separator/>
      </w:r>
    </w:p>
  </w:endnote>
  <w:endnote w:type="continuationSeparator" w:id="0">
    <w:p w:rsidR="00B8281A" w:rsidRDefault="00B8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1A" w:rsidRDefault="00B8281A">
      <w:r>
        <w:separator/>
      </w:r>
    </w:p>
  </w:footnote>
  <w:footnote w:type="continuationSeparator" w:id="0">
    <w:p w:rsidR="00B8281A" w:rsidRDefault="00B82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CAC" w:rsidRDefault="00467C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67CAC" w:rsidRDefault="00467C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CAC" w:rsidRDefault="00467C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4AC4">
      <w:rPr>
        <w:rStyle w:val="a5"/>
        <w:noProof/>
      </w:rPr>
      <w:t>2</w:t>
    </w:r>
    <w:r>
      <w:rPr>
        <w:rStyle w:val="a5"/>
      </w:rPr>
      <w:fldChar w:fldCharType="end"/>
    </w:r>
  </w:p>
  <w:p w:rsidR="00467CAC" w:rsidRDefault="00467C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E44"/>
    <w:multiLevelType w:val="hybridMultilevel"/>
    <w:tmpl w:val="412233BC"/>
    <w:lvl w:ilvl="0" w:tplc="2488BE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514"/>
    <w:multiLevelType w:val="hybridMultilevel"/>
    <w:tmpl w:val="302A3198"/>
    <w:lvl w:ilvl="0" w:tplc="ADE48ADE">
      <w:start w:val="1"/>
      <w:numFmt w:val="bullet"/>
      <w:lvlText w:val=""/>
      <w:lvlJc w:val="left"/>
      <w:pPr>
        <w:tabs>
          <w:tab w:val="num" w:pos="1248"/>
        </w:tabs>
        <w:ind w:left="907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B34F4E"/>
    <w:multiLevelType w:val="hybridMultilevel"/>
    <w:tmpl w:val="5740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E6213"/>
    <w:multiLevelType w:val="multilevel"/>
    <w:tmpl w:val="A2F88D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5C7A72"/>
    <w:multiLevelType w:val="hybridMultilevel"/>
    <w:tmpl w:val="7DC0B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A4557"/>
    <w:multiLevelType w:val="hybridMultilevel"/>
    <w:tmpl w:val="412233BC"/>
    <w:lvl w:ilvl="0" w:tplc="2488BE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11E7C"/>
    <w:multiLevelType w:val="hybridMultilevel"/>
    <w:tmpl w:val="016CE4AE"/>
    <w:lvl w:ilvl="0" w:tplc="97E4AAD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BF"/>
    <w:rsid w:val="000061F6"/>
    <w:rsid w:val="000333E1"/>
    <w:rsid w:val="000338AE"/>
    <w:rsid w:val="00074E9C"/>
    <w:rsid w:val="000F0807"/>
    <w:rsid w:val="000F752F"/>
    <w:rsid w:val="00137E11"/>
    <w:rsid w:val="0015631E"/>
    <w:rsid w:val="00175BF2"/>
    <w:rsid w:val="0017763B"/>
    <w:rsid w:val="00181D6A"/>
    <w:rsid w:val="00190E8F"/>
    <w:rsid w:val="002C225D"/>
    <w:rsid w:val="00387653"/>
    <w:rsid w:val="003905AB"/>
    <w:rsid w:val="003A62F0"/>
    <w:rsid w:val="003A721F"/>
    <w:rsid w:val="00450820"/>
    <w:rsid w:val="00467CAC"/>
    <w:rsid w:val="00487FAF"/>
    <w:rsid w:val="00492FBC"/>
    <w:rsid w:val="005019F1"/>
    <w:rsid w:val="00502B3B"/>
    <w:rsid w:val="0052475F"/>
    <w:rsid w:val="00560FFA"/>
    <w:rsid w:val="005623AD"/>
    <w:rsid w:val="00565FFA"/>
    <w:rsid w:val="005A16C3"/>
    <w:rsid w:val="005B4F28"/>
    <w:rsid w:val="005B7ABB"/>
    <w:rsid w:val="005E3F31"/>
    <w:rsid w:val="00617933"/>
    <w:rsid w:val="00650F5B"/>
    <w:rsid w:val="00661571"/>
    <w:rsid w:val="00696D1F"/>
    <w:rsid w:val="00762588"/>
    <w:rsid w:val="0076448A"/>
    <w:rsid w:val="00770821"/>
    <w:rsid w:val="00773B56"/>
    <w:rsid w:val="007D4D92"/>
    <w:rsid w:val="00853259"/>
    <w:rsid w:val="00865735"/>
    <w:rsid w:val="008B3619"/>
    <w:rsid w:val="008C4AD3"/>
    <w:rsid w:val="009C2DBA"/>
    <w:rsid w:val="009C6681"/>
    <w:rsid w:val="009D2E10"/>
    <w:rsid w:val="009F0049"/>
    <w:rsid w:val="00A43FBF"/>
    <w:rsid w:val="00A57FDE"/>
    <w:rsid w:val="00AB148A"/>
    <w:rsid w:val="00AD2647"/>
    <w:rsid w:val="00AF16EC"/>
    <w:rsid w:val="00B63986"/>
    <w:rsid w:val="00B8281A"/>
    <w:rsid w:val="00BB2F36"/>
    <w:rsid w:val="00BE5C61"/>
    <w:rsid w:val="00C30A95"/>
    <w:rsid w:val="00C804DF"/>
    <w:rsid w:val="00C84AC4"/>
    <w:rsid w:val="00CD39C9"/>
    <w:rsid w:val="00D14946"/>
    <w:rsid w:val="00D4377E"/>
    <w:rsid w:val="00D87C92"/>
    <w:rsid w:val="00DB0202"/>
    <w:rsid w:val="00DC0129"/>
    <w:rsid w:val="00DC187E"/>
    <w:rsid w:val="00E22685"/>
    <w:rsid w:val="00E254CE"/>
    <w:rsid w:val="00E419EF"/>
    <w:rsid w:val="00EE5EE1"/>
    <w:rsid w:val="00F4730F"/>
    <w:rsid w:val="00F83B17"/>
    <w:rsid w:val="00FB616F"/>
    <w:rsid w:val="00FC0384"/>
    <w:rsid w:val="00FD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094C23-2F8C-4A4B-ADF8-6856E4F6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4D9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D4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4D92"/>
  </w:style>
  <w:style w:type="paragraph" w:customStyle="1" w:styleId="ConsPlusNormal">
    <w:name w:val="ConsPlusNormal"/>
    <w:rsid w:val="007D4D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62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2974</Words>
  <Characters>16952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Саморцев Евгений Гермогенович</dc:creator>
  <cp:keywords/>
  <dc:description/>
  <cp:lastModifiedBy>Общий_отдел_2</cp:lastModifiedBy>
  <cp:revision>2</cp:revision>
  <cp:lastPrinted>2020-11-16T06:53:00Z</cp:lastPrinted>
  <dcterms:created xsi:type="dcterms:W3CDTF">2021-01-22T05:15:00Z</dcterms:created>
  <dcterms:modified xsi:type="dcterms:W3CDTF">2021-01-22T05:15:00Z</dcterms:modified>
</cp:coreProperties>
</file>